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1E06" w:rsidRDefault="005D1E06">
      <w:r>
        <w:t>A</w:t>
      </w:r>
      <w:r w:rsidR="00886C96">
        <w:t>dditional File 1</w:t>
      </w:r>
      <w:bookmarkStart w:id="0" w:name="_GoBack"/>
      <w:bookmarkEnd w:id="0"/>
      <w:r>
        <w:t xml:space="preserve">: </w:t>
      </w:r>
      <w:r w:rsidR="00886C96">
        <w:t xml:space="preserve">Items from the </w:t>
      </w:r>
      <w:r w:rsidRPr="005D1E06">
        <w:t>World Health Organization Trial Registration Data Set</w:t>
      </w:r>
    </w:p>
    <w:tbl>
      <w:tblPr>
        <w:tblW w:w="9525" w:type="dxa"/>
        <w:tblBorders>
          <w:top w:val="single" w:sz="6" w:space="0" w:color="CCCCCC"/>
        </w:tblBorders>
        <w:shd w:val="clear" w:color="auto" w:fill="EEEEEE"/>
        <w:tblCellMar>
          <w:left w:w="0" w:type="dxa"/>
          <w:right w:w="0" w:type="dxa"/>
        </w:tblCellMar>
        <w:tblLook w:val="04A0" w:firstRow="1" w:lastRow="0" w:firstColumn="1" w:lastColumn="0" w:noHBand="0" w:noVBand="1"/>
      </w:tblPr>
      <w:tblGrid>
        <w:gridCol w:w="2700"/>
        <w:gridCol w:w="6825"/>
      </w:tblGrid>
      <w:tr w:rsidR="005D1E06" w:rsidRPr="005D1E06" w:rsidTr="005D1E06">
        <w:trPr>
          <w:tblHeader/>
        </w:trPr>
        <w:tc>
          <w:tcPr>
            <w:tcW w:w="2700" w:type="dxa"/>
            <w:tcBorders>
              <w:top w:val="single" w:sz="6" w:space="0" w:color="BBBBBB"/>
              <w:left w:val="single" w:sz="6" w:space="0" w:color="BBBBBB"/>
              <w:bottom w:val="single" w:sz="6" w:space="0" w:color="BBBBBB"/>
              <w:right w:val="single" w:sz="6" w:space="0" w:color="BBBBBB"/>
            </w:tcBorders>
            <w:shd w:val="clear" w:color="auto" w:fill="DDDDDD"/>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Data category</w:t>
            </w:r>
          </w:p>
        </w:tc>
        <w:tc>
          <w:tcPr>
            <w:tcW w:w="6825" w:type="dxa"/>
            <w:tcBorders>
              <w:top w:val="single" w:sz="6" w:space="0" w:color="BBBBBB"/>
              <w:left w:val="single" w:sz="6" w:space="0" w:color="BBBBBB"/>
              <w:bottom w:val="single" w:sz="6" w:space="0" w:color="BBBBBB"/>
              <w:right w:val="single" w:sz="6" w:space="0" w:color="BBBBBB"/>
            </w:tcBorders>
            <w:shd w:val="clear" w:color="auto" w:fill="FFFFFF"/>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Information</w:t>
            </w:r>
          </w:p>
        </w:tc>
      </w:tr>
      <w:tr w:rsidR="005D1E06" w:rsidRPr="005D1E06" w:rsidTr="005D1E06">
        <w:tc>
          <w:tcPr>
            <w:tcW w:w="2700"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Primary registry and trial identifying number</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ClinicalTrials.gov</w:t>
            </w:r>
            <w:r w:rsidRPr="005D1E06">
              <w:rPr>
                <w:rFonts w:ascii="inherit" w:eastAsia="Times New Roman" w:hAnsi="inherit" w:cs="Times New Roman"/>
                <w:color w:val="333333"/>
                <w:sz w:val="24"/>
                <w:szCs w:val="24"/>
                <w:lang w:val="en-US"/>
              </w:rPr>
              <w:br/>
              <w:t>NCT03902743</w:t>
            </w:r>
          </w:p>
        </w:tc>
      </w:tr>
      <w:tr w:rsidR="005D1E06" w:rsidRPr="005D1E06" w:rsidTr="005D1E06">
        <w:tc>
          <w:tcPr>
            <w:tcW w:w="2700"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Date of registration in primary registry</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Pr>
                <w:rFonts w:ascii="inherit" w:eastAsia="Times New Roman" w:hAnsi="inherit" w:cs="Times New Roman"/>
                <w:color w:val="333333"/>
                <w:sz w:val="24"/>
                <w:szCs w:val="24"/>
                <w:lang w:val="en-US"/>
              </w:rPr>
              <w:t>2 April 2019</w:t>
            </w:r>
          </w:p>
        </w:tc>
      </w:tr>
      <w:tr w:rsidR="005D1E06" w:rsidRPr="005D1E06" w:rsidTr="005D1E06">
        <w:tc>
          <w:tcPr>
            <w:tcW w:w="2700"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Secondary identifying numbers</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Pr>
                <w:rFonts w:ascii="inherit" w:eastAsia="Times New Roman" w:hAnsi="inherit" w:cs="Times New Roman"/>
                <w:color w:val="333333"/>
                <w:sz w:val="24"/>
                <w:szCs w:val="24"/>
                <w:lang w:val="en-US"/>
              </w:rPr>
              <w:t>Not applicable</w:t>
            </w:r>
          </w:p>
        </w:tc>
      </w:tr>
      <w:tr w:rsidR="005D1E06" w:rsidRPr="005D1E06" w:rsidTr="005D1E06">
        <w:tc>
          <w:tcPr>
            <w:tcW w:w="2700"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Source(s) of monetary or material support</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rPr>
              <w:t>Cross-border Healthcare Intervention Trials in Ireland Network (CHITIN) a programme funded by the European Regional Development Fund (award number: CHI/5426/2018)</w:t>
            </w:r>
          </w:p>
        </w:tc>
      </w:tr>
      <w:tr w:rsidR="005D1E06" w:rsidRPr="005D1E06" w:rsidTr="005D1E06">
        <w:tc>
          <w:tcPr>
            <w:tcW w:w="2700"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Primary sponsor</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rPr>
              <w:t>Cross-border Healthcare Intervention Trials in Ireland Network (CHITIN) a programme funded by the European Regional Development Fund (award number: CHI/5426/2018)</w:t>
            </w:r>
          </w:p>
        </w:tc>
      </w:tr>
      <w:tr w:rsidR="005D1E06" w:rsidRPr="005D1E06" w:rsidTr="005D1E06">
        <w:tc>
          <w:tcPr>
            <w:tcW w:w="2700"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Secondary sponsor(s)</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rPr>
              <w:t>Cross-border Healthcare Intervention Trials in Ireland Network (CHITIN) a programme funded by the European Regional Development Fund (award number: CHI/5426/2018)</w:t>
            </w:r>
          </w:p>
        </w:tc>
      </w:tr>
      <w:tr w:rsidR="005D1E06" w:rsidRPr="005D1E06" w:rsidTr="005D1E06">
        <w:tc>
          <w:tcPr>
            <w:tcW w:w="2700"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Contact for public queries</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Default="005D1E06" w:rsidP="005D1E06">
            <w:pPr>
              <w:spacing w:after="0" w:line="240" w:lineRule="auto"/>
              <w:rPr>
                <w:rFonts w:ascii="inherit" w:eastAsia="Times New Roman" w:hAnsi="inherit" w:cs="Times New Roman"/>
                <w:color w:val="333333"/>
                <w:sz w:val="24"/>
                <w:szCs w:val="24"/>
              </w:rPr>
            </w:pPr>
            <w:r w:rsidRPr="005D1E06">
              <w:rPr>
                <w:rFonts w:ascii="inherit" w:eastAsia="Times New Roman" w:hAnsi="inherit" w:cs="Times New Roman"/>
                <w:color w:val="333333"/>
                <w:sz w:val="24"/>
                <w:szCs w:val="24"/>
              </w:rPr>
              <w:t>Kevin Brazil,</w:t>
            </w:r>
            <w:r>
              <w:rPr>
                <w:rFonts w:ascii="inherit" w:eastAsia="Times New Roman" w:hAnsi="inherit" w:cs="Times New Roman"/>
                <w:color w:val="333333"/>
                <w:sz w:val="24"/>
                <w:szCs w:val="24"/>
              </w:rPr>
              <w:t xml:space="preserve"> </w:t>
            </w:r>
            <w:hyperlink r:id="rId6" w:history="1">
              <w:r w:rsidRPr="005D1E06">
                <w:rPr>
                  <w:rStyle w:val="Hyperlink"/>
                  <w:rFonts w:ascii="inherit" w:eastAsia="Times New Roman" w:hAnsi="inherit" w:cs="Times New Roman"/>
                  <w:sz w:val="24"/>
                  <w:szCs w:val="24"/>
                </w:rPr>
                <w:t>k.brazil@qub.ac.uk</w:t>
              </w:r>
            </w:hyperlink>
          </w:p>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rPr>
              <w:t>David Scott</w:t>
            </w:r>
            <w:r>
              <w:rPr>
                <w:rFonts w:ascii="inherit" w:eastAsia="Times New Roman" w:hAnsi="inherit" w:cs="Times New Roman"/>
                <w:color w:val="333333"/>
                <w:sz w:val="24"/>
                <w:szCs w:val="24"/>
              </w:rPr>
              <w:t xml:space="preserve">, </w:t>
            </w:r>
            <w:hyperlink r:id="rId7" w:history="1">
              <w:r w:rsidRPr="005D1E06">
                <w:rPr>
                  <w:rStyle w:val="Hyperlink"/>
                  <w:rFonts w:ascii="inherit" w:eastAsia="Times New Roman" w:hAnsi="inherit" w:cs="Times New Roman"/>
                  <w:sz w:val="24"/>
                  <w:szCs w:val="24"/>
                </w:rPr>
                <w:t>david.scott@qub.ac.uk</w:t>
              </w:r>
            </w:hyperlink>
          </w:p>
        </w:tc>
      </w:tr>
      <w:tr w:rsidR="005D1E06" w:rsidRPr="005D1E06" w:rsidTr="005D1E06">
        <w:tc>
          <w:tcPr>
            <w:tcW w:w="2700"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Contact for scientific queries</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Default="005D1E06" w:rsidP="005D1E06">
            <w:pPr>
              <w:spacing w:after="0" w:line="240" w:lineRule="auto"/>
              <w:rPr>
                <w:rFonts w:ascii="inherit" w:eastAsia="Times New Roman" w:hAnsi="inherit" w:cs="Times New Roman"/>
                <w:color w:val="333333"/>
                <w:sz w:val="24"/>
                <w:szCs w:val="24"/>
              </w:rPr>
            </w:pPr>
            <w:r w:rsidRPr="005D1E06">
              <w:rPr>
                <w:rFonts w:ascii="inherit" w:eastAsia="Times New Roman" w:hAnsi="inherit" w:cs="Times New Roman"/>
                <w:color w:val="333333"/>
                <w:sz w:val="24"/>
                <w:szCs w:val="24"/>
              </w:rPr>
              <w:t>Kevin Brazil,</w:t>
            </w:r>
            <w:r>
              <w:rPr>
                <w:rFonts w:ascii="inherit" w:eastAsia="Times New Roman" w:hAnsi="inherit" w:cs="Times New Roman"/>
                <w:color w:val="333333"/>
                <w:sz w:val="24"/>
                <w:szCs w:val="24"/>
              </w:rPr>
              <w:t xml:space="preserve"> </w:t>
            </w:r>
            <w:hyperlink r:id="rId8" w:history="1">
              <w:r w:rsidRPr="005D1E06">
                <w:rPr>
                  <w:rStyle w:val="Hyperlink"/>
                  <w:rFonts w:ascii="inherit" w:eastAsia="Times New Roman" w:hAnsi="inherit" w:cs="Times New Roman"/>
                  <w:sz w:val="24"/>
                  <w:szCs w:val="24"/>
                </w:rPr>
                <w:t>k.brazil@qub.ac.uk</w:t>
              </w:r>
            </w:hyperlink>
          </w:p>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rPr>
              <w:t>David Scott</w:t>
            </w:r>
            <w:r>
              <w:rPr>
                <w:rFonts w:ascii="inherit" w:eastAsia="Times New Roman" w:hAnsi="inherit" w:cs="Times New Roman"/>
                <w:color w:val="333333"/>
                <w:sz w:val="24"/>
                <w:szCs w:val="24"/>
              </w:rPr>
              <w:t xml:space="preserve">, </w:t>
            </w:r>
            <w:hyperlink r:id="rId9" w:history="1">
              <w:r w:rsidRPr="005D1E06">
                <w:rPr>
                  <w:rStyle w:val="Hyperlink"/>
                  <w:rFonts w:ascii="inherit" w:eastAsia="Times New Roman" w:hAnsi="inherit" w:cs="Times New Roman"/>
                  <w:sz w:val="24"/>
                  <w:szCs w:val="24"/>
                </w:rPr>
                <w:t>david.scott@qub.ac.uk</w:t>
              </w:r>
            </w:hyperlink>
          </w:p>
        </w:tc>
      </w:tr>
      <w:tr w:rsidR="005D1E06" w:rsidRPr="005D1E06" w:rsidTr="005D1E06">
        <w:tc>
          <w:tcPr>
            <w:tcW w:w="2700"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Public title</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bCs/>
                <w:color w:val="333333"/>
                <w:sz w:val="24"/>
                <w:szCs w:val="24"/>
                <w:lang w:val="en-US"/>
              </w:rPr>
            </w:pPr>
            <w:r w:rsidRPr="005D1E06">
              <w:rPr>
                <w:rFonts w:ascii="inherit" w:eastAsia="Times New Roman" w:hAnsi="inherit" w:cs="Times New Roman"/>
                <w:bCs/>
                <w:color w:val="333333"/>
                <w:sz w:val="24"/>
                <w:szCs w:val="24"/>
                <w:lang w:val="en-US"/>
              </w:rPr>
              <w:t>Anticipatory Care Planning Intervention for Older Adults at Risk of Functional Decline: A Primary Care Feasibility Study</w:t>
            </w:r>
          </w:p>
        </w:tc>
      </w:tr>
      <w:tr w:rsidR="005D1E06" w:rsidRPr="005D1E06" w:rsidTr="005D1E06">
        <w:tc>
          <w:tcPr>
            <w:tcW w:w="2700"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Scientific title</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bCs/>
                <w:iCs/>
                <w:color w:val="333333"/>
                <w:sz w:val="24"/>
                <w:szCs w:val="24"/>
                <w:bdr w:val="none" w:sz="0" w:space="0" w:color="auto" w:frame="1"/>
                <w:lang w:val="en-US"/>
              </w:rPr>
            </w:pPr>
            <w:r w:rsidRPr="005D1E06">
              <w:rPr>
                <w:rFonts w:ascii="inherit" w:eastAsia="Times New Roman" w:hAnsi="inherit" w:cs="Times New Roman"/>
                <w:bCs/>
                <w:iCs/>
                <w:color w:val="333333"/>
                <w:sz w:val="24"/>
                <w:szCs w:val="24"/>
                <w:bdr w:val="none" w:sz="0" w:space="0" w:color="auto" w:frame="1"/>
                <w:lang w:val="en-US"/>
              </w:rPr>
              <w:t>Anticipatory Care Planning Intervention for Older Adults at Risk of Functional Decline: A Primary Care Feasibility Study</w:t>
            </w:r>
          </w:p>
        </w:tc>
      </w:tr>
      <w:tr w:rsidR="005D1E06" w:rsidRPr="005D1E06" w:rsidTr="005D1E06">
        <w:tc>
          <w:tcPr>
            <w:tcW w:w="2700"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Countries of recruitment</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Pr>
                <w:rFonts w:ascii="inherit" w:eastAsia="Times New Roman" w:hAnsi="inherit" w:cs="Times New Roman"/>
                <w:color w:val="333333"/>
                <w:sz w:val="24"/>
                <w:szCs w:val="24"/>
                <w:lang w:val="en-US"/>
              </w:rPr>
              <w:t>Northern Ireland, Republic of Ireland</w:t>
            </w:r>
          </w:p>
        </w:tc>
      </w:tr>
      <w:tr w:rsidR="005D1E06" w:rsidRPr="005D1E06" w:rsidTr="005D1E06">
        <w:tc>
          <w:tcPr>
            <w:tcW w:w="2700"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Health condition(s) or problem(s) studied</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rPr>
              <w:t>1) aged ≥70 years; 2) in receipt of a valid general medical services (GMS) card in the Republic of Ireland, or for Northern Ireland registered for NHS primary care services; 3) ability to complete a postal questionnaire.</w:t>
            </w:r>
          </w:p>
        </w:tc>
      </w:tr>
      <w:tr w:rsidR="005D1E06" w:rsidRPr="005D1E06" w:rsidTr="005D1E06">
        <w:tc>
          <w:tcPr>
            <w:tcW w:w="2700" w:type="dxa"/>
            <w:vMerge w:val="restart"/>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Intervention(s)</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rPr>
              <w:t>The Anticipatory Care Plan will be delivered by a trained nurse. At the initial visit, the nurse will conduct a hollistic assessment using the EasyCare Assessment Tool. Following this visit, the nurse will draft a strucutred summary report of the home visit to include patient goals, preferences for care, identified problems and action list. The nurse will then consult with a pharmacist to identify any potential inappropriate prescribing. The nurse will then meet with the participants GP and review and provide feedback. The nurse will then re visit participants and discuss the report and agree a support plan and actions for follow up.</w:t>
            </w:r>
          </w:p>
        </w:tc>
      </w:tr>
      <w:tr w:rsidR="005D1E06" w:rsidRPr="005D1E06" w:rsidTr="005D1E06">
        <w:tc>
          <w:tcPr>
            <w:tcW w:w="0" w:type="auto"/>
            <w:vMerge/>
            <w:tcBorders>
              <w:top w:val="single" w:sz="6" w:space="0" w:color="BBBBBB"/>
              <w:left w:val="single" w:sz="6" w:space="0" w:color="BBBBBB"/>
              <w:bottom w:val="single" w:sz="6" w:space="0" w:color="BBBBBB"/>
              <w:right w:val="single" w:sz="6" w:space="0" w:color="BBBBBB"/>
            </w:tcBorders>
            <w:shd w:val="clear" w:color="auto" w:fill="EEEEEE"/>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rPr>
              <w:t>Usual care</w:t>
            </w:r>
          </w:p>
        </w:tc>
      </w:tr>
      <w:tr w:rsidR="005D1E06" w:rsidRPr="005D1E06" w:rsidTr="005D1E06">
        <w:tc>
          <w:tcPr>
            <w:tcW w:w="2700" w:type="dxa"/>
            <w:vMerge w:val="restart"/>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Key inclusion and exclusion criteria</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Ages eligible for study: ≥</w:t>
            </w:r>
            <w:r>
              <w:rPr>
                <w:rFonts w:ascii="inherit" w:eastAsia="Times New Roman" w:hAnsi="inherit" w:cs="Times New Roman"/>
                <w:color w:val="333333"/>
                <w:sz w:val="24"/>
                <w:szCs w:val="24"/>
                <w:lang w:val="en-US"/>
              </w:rPr>
              <w:t>70</w:t>
            </w:r>
            <w:r w:rsidRPr="005D1E06">
              <w:rPr>
                <w:rFonts w:ascii="inherit" w:eastAsia="Times New Roman" w:hAnsi="inherit" w:cs="Times New Roman"/>
                <w:color w:val="333333"/>
                <w:sz w:val="24"/>
                <w:szCs w:val="24"/>
                <w:lang w:val="en-US"/>
              </w:rPr>
              <w:t xml:space="preserve"> years</w:t>
            </w:r>
            <w:r w:rsidRPr="005D1E06">
              <w:rPr>
                <w:rFonts w:ascii="inherit" w:eastAsia="Times New Roman" w:hAnsi="inherit" w:cs="Times New Roman"/>
                <w:color w:val="333333"/>
                <w:sz w:val="24"/>
                <w:szCs w:val="24"/>
                <w:lang w:val="en-US"/>
              </w:rPr>
              <w:br/>
              <w:t>Sexes eligible for study: both</w:t>
            </w:r>
            <w:r w:rsidRPr="005D1E06">
              <w:rPr>
                <w:rFonts w:ascii="inherit" w:eastAsia="Times New Roman" w:hAnsi="inherit" w:cs="Times New Roman"/>
                <w:color w:val="333333"/>
                <w:sz w:val="24"/>
                <w:szCs w:val="24"/>
                <w:lang w:val="en-US"/>
              </w:rPr>
              <w:br/>
              <w:t>Accepts healthy volunteers: no</w:t>
            </w:r>
          </w:p>
        </w:tc>
      </w:tr>
      <w:tr w:rsidR="005D1E06" w:rsidRPr="005D1E06" w:rsidTr="005D1E06">
        <w:tc>
          <w:tcPr>
            <w:tcW w:w="0" w:type="auto"/>
            <w:vMerge/>
            <w:tcBorders>
              <w:top w:val="single" w:sz="6" w:space="0" w:color="BBBBBB"/>
              <w:left w:val="single" w:sz="6" w:space="0" w:color="BBBBBB"/>
              <w:bottom w:val="single" w:sz="6" w:space="0" w:color="BBBBBB"/>
              <w:right w:val="single" w:sz="6" w:space="0" w:color="BBBBBB"/>
            </w:tcBorders>
            <w:shd w:val="clear" w:color="auto" w:fill="EEEEEE"/>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 xml:space="preserve">Inclusion criteria: </w:t>
            </w:r>
            <w:r w:rsidRPr="005D1E06">
              <w:rPr>
                <w:rFonts w:ascii="inherit" w:eastAsia="Times New Roman" w:hAnsi="inherit" w:cs="Times New Roman"/>
                <w:color w:val="333333"/>
                <w:sz w:val="24"/>
                <w:szCs w:val="24"/>
              </w:rPr>
              <w:t>1) aged ≥70 years; 2) in receipt of a valid general medical services (GMS) card in the Republic of Ireland, or for Northern Ireland registered for NHS primary care services; 3) ability to complete a postal questionnaire</w:t>
            </w:r>
          </w:p>
        </w:tc>
      </w:tr>
      <w:tr w:rsidR="005D1E06" w:rsidRPr="005D1E06" w:rsidTr="005D1E06">
        <w:tc>
          <w:tcPr>
            <w:tcW w:w="0" w:type="auto"/>
            <w:vMerge/>
            <w:tcBorders>
              <w:top w:val="single" w:sz="6" w:space="0" w:color="BBBBBB"/>
              <w:left w:val="single" w:sz="6" w:space="0" w:color="BBBBBB"/>
              <w:bottom w:val="single" w:sz="6" w:space="0" w:color="BBBBBB"/>
              <w:right w:val="single" w:sz="6" w:space="0" w:color="BBBBBB"/>
            </w:tcBorders>
            <w:shd w:val="clear" w:color="auto" w:fill="EEEEEE"/>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rPr>
              <w:t>1) receiving specialist palliative care; 2) record of assessed cognitive impairment at the level that would impact their ability to complete screening postal questionnaire, outcome measures and participate in a patient care conference(s) (defined as Mini Mental State Examination (MMSE) ≤20); 3) experiencing a psychotic episode at the time of recruitment; 4) hospitalised long-term, in a nursing home, homeless or in sheltered accommodation.</w:t>
            </w:r>
          </w:p>
        </w:tc>
      </w:tr>
      <w:tr w:rsidR="005D1E06" w:rsidRPr="005D1E06" w:rsidTr="005D1E06">
        <w:tc>
          <w:tcPr>
            <w:tcW w:w="2700" w:type="dxa"/>
            <w:vMerge w:val="restart"/>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Study type</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Interventional</w:t>
            </w:r>
          </w:p>
        </w:tc>
      </w:tr>
      <w:tr w:rsidR="005D1E06" w:rsidRPr="005D1E06" w:rsidTr="005D1E06">
        <w:tc>
          <w:tcPr>
            <w:tcW w:w="0" w:type="auto"/>
            <w:vMerge/>
            <w:tcBorders>
              <w:top w:val="single" w:sz="6" w:space="0" w:color="BBBBBB"/>
              <w:left w:val="single" w:sz="6" w:space="0" w:color="BBBBBB"/>
              <w:bottom w:val="single" w:sz="6" w:space="0" w:color="BBBBBB"/>
              <w:right w:val="single" w:sz="6" w:space="0" w:color="BBBBBB"/>
            </w:tcBorders>
            <w:shd w:val="clear" w:color="auto" w:fill="EEEEEE"/>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 xml:space="preserve">Allocation: randomized intervention model. Parallel assignment masking: </w:t>
            </w:r>
            <w:r>
              <w:rPr>
                <w:rFonts w:ascii="inherit" w:eastAsia="Times New Roman" w:hAnsi="inherit" w:cs="Times New Roman"/>
                <w:color w:val="333333"/>
                <w:sz w:val="24"/>
                <w:szCs w:val="24"/>
                <w:lang w:val="en-US"/>
              </w:rPr>
              <w:t>none</w:t>
            </w:r>
          </w:p>
        </w:tc>
      </w:tr>
      <w:tr w:rsidR="005D1E06" w:rsidRPr="005D1E06" w:rsidTr="005D1E06">
        <w:tc>
          <w:tcPr>
            <w:tcW w:w="0" w:type="auto"/>
            <w:vMerge/>
            <w:tcBorders>
              <w:top w:val="single" w:sz="6" w:space="0" w:color="BBBBBB"/>
              <w:left w:val="single" w:sz="6" w:space="0" w:color="BBBBBB"/>
              <w:bottom w:val="single" w:sz="6" w:space="0" w:color="BBBBBB"/>
              <w:right w:val="single" w:sz="6" w:space="0" w:color="BBBBBB"/>
            </w:tcBorders>
            <w:shd w:val="clear" w:color="auto" w:fill="EEEEEE"/>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 xml:space="preserve">Primary purpose: </w:t>
            </w:r>
            <w:r>
              <w:rPr>
                <w:rFonts w:ascii="inherit" w:eastAsia="Times New Roman" w:hAnsi="inherit" w:cs="Times New Roman"/>
                <w:color w:val="333333"/>
                <w:sz w:val="24"/>
                <w:szCs w:val="24"/>
                <w:lang w:val="en-US"/>
              </w:rPr>
              <w:t>Health Services Research</w:t>
            </w:r>
          </w:p>
        </w:tc>
      </w:tr>
      <w:tr w:rsidR="005D1E06" w:rsidRPr="005D1E06" w:rsidTr="005D1E06">
        <w:tc>
          <w:tcPr>
            <w:tcW w:w="0" w:type="auto"/>
            <w:vMerge/>
            <w:tcBorders>
              <w:top w:val="single" w:sz="6" w:space="0" w:color="BBBBBB"/>
              <w:left w:val="single" w:sz="6" w:space="0" w:color="BBBBBB"/>
              <w:bottom w:val="single" w:sz="6" w:space="0" w:color="BBBBBB"/>
              <w:right w:val="single" w:sz="6" w:space="0" w:color="BBBBBB"/>
            </w:tcBorders>
            <w:shd w:val="clear" w:color="auto" w:fill="EEEEEE"/>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Pr>
                <w:rFonts w:ascii="inherit" w:eastAsia="Times New Roman" w:hAnsi="inherit" w:cs="Times New Roman"/>
                <w:color w:val="333333"/>
                <w:sz w:val="24"/>
                <w:szCs w:val="24"/>
                <w:lang w:val="en-US"/>
              </w:rPr>
              <w:t>Feasibility cluster trial</w:t>
            </w:r>
          </w:p>
        </w:tc>
      </w:tr>
      <w:tr w:rsidR="005D1E06" w:rsidRPr="005D1E06" w:rsidTr="005D1E06">
        <w:tc>
          <w:tcPr>
            <w:tcW w:w="2700"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Date of first enrolment</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F12D95" w:rsidP="005D1E06">
            <w:pPr>
              <w:spacing w:after="0" w:line="240" w:lineRule="auto"/>
              <w:rPr>
                <w:rFonts w:ascii="inherit" w:eastAsia="Times New Roman" w:hAnsi="inherit" w:cs="Times New Roman"/>
                <w:color w:val="333333"/>
                <w:sz w:val="24"/>
                <w:szCs w:val="24"/>
                <w:lang w:val="en-US"/>
              </w:rPr>
            </w:pPr>
            <w:r>
              <w:rPr>
                <w:rFonts w:ascii="inherit" w:eastAsia="Times New Roman" w:hAnsi="inherit" w:cs="Times New Roman"/>
                <w:color w:val="333333"/>
                <w:sz w:val="24"/>
                <w:szCs w:val="24"/>
                <w:lang w:val="en-US"/>
              </w:rPr>
              <w:t>April 2019</w:t>
            </w:r>
          </w:p>
        </w:tc>
      </w:tr>
      <w:tr w:rsidR="005D1E06" w:rsidRPr="005D1E06" w:rsidTr="005D1E06">
        <w:tc>
          <w:tcPr>
            <w:tcW w:w="2700"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Target sample size</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F12D95" w:rsidP="005D1E06">
            <w:pPr>
              <w:spacing w:after="0" w:line="240" w:lineRule="auto"/>
              <w:rPr>
                <w:rFonts w:ascii="inherit" w:eastAsia="Times New Roman" w:hAnsi="inherit" w:cs="Times New Roman"/>
                <w:color w:val="333333"/>
                <w:sz w:val="24"/>
                <w:szCs w:val="24"/>
                <w:lang w:val="en-US"/>
              </w:rPr>
            </w:pPr>
            <w:r>
              <w:rPr>
                <w:rFonts w:ascii="inherit" w:eastAsia="Times New Roman" w:hAnsi="inherit" w:cs="Times New Roman"/>
                <w:color w:val="333333"/>
                <w:sz w:val="24"/>
                <w:szCs w:val="24"/>
                <w:lang w:val="en-US"/>
              </w:rPr>
              <w:t>64</w:t>
            </w:r>
          </w:p>
        </w:tc>
      </w:tr>
      <w:tr w:rsidR="005D1E06" w:rsidRPr="005D1E06" w:rsidTr="005D1E06">
        <w:tc>
          <w:tcPr>
            <w:tcW w:w="2700"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Recruitment status</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Recruiting</w:t>
            </w:r>
          </w:p>
        </w:tc>
      </w:tr>
      <w:tr w:rsidR="005D1E06" w:rsidRPr="005D1E06" w:rsidTr="005D1E06">
        <w:tc>
          <w:tcPr>
            <w:tcW w:w="2700"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Primary outcome(s)</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F12D95" w:rsidRPr="00F12D95" w:rsidRDefault="00F12D95" w:rsidP="00F12D95">
            <w:pPr>
              <w:spacing w:after="0" w:line="240" w:lineRule="auto"/>
              <w:rPr>
                <w:rFonts w:ascii="inherit" w:eastAsia="Times New Roman" w:hAnsi="inherit" w:cs="Times New Roman"/>
                <w:color w:val="333333"/>
                <w:sz w:val="24"/>
                <w:szCs w:val="24"/>
                <w:lang w:val="en-US"/>
              </w:rPr>
            </w:pPr>
            <w:r w:rsidRPr="00F12D95">
              <w:rPr>
                <w:rFonts w:ascii="inherit" w:eastAsia="Times New Roman" w:hAnsi="inherit" w:cs="Times New Roman"/>
                <w:color w:val="333333"/>
                <w:sz w:val="24"/>
                <w:szCs w:val="24"/>
              </w:rPr>
              <w:t>EQ-5D-5L</w:t>
            </w:r>
            <w:r>
              <w:rPr>
                <w:rFonts w:ascii="inherit" w:eastAsia="Times New Roman" w:hAnsi="inherit" w:cs="Times New Roman"/>
                <w:color w:val="333333"/>
                <w:sz w:val="24"/>
                <w:szCs w:val="24"/>
              </w:rPr>
              <w:t xml:space="preserve"> </w:t>
            </w:r>
            <w:r w:rsidRPr="00F12D95">
              <w:rPr>
                <w:rFonts w:ascii="inherit" w:eastAsia="Times New Roman" w:hAnsi="inherit" w:cs="Times New Roman"/>
                <w:color w:val="333333"/>
                <w:sz w:val="24"/>
                <w:szCs w:val="24"/>
                <w:lang w:val="en-US"/>
              </w:rPr>
              <w:t>[ Time Frame: 10 minutes ]</w:t>
            </w:r>
          </w:p>
          <w:p w:rsidR="00F12D95" w:rsidRPr="00F12D95" w:rsidRDefault="00F12D95" w:rsidP="00F12D95">
            <w:pPr>
              <w:spacing w:after="0" w:line="240" w:lineRule="auto"/>
              <w:rPr>
                <w:rFonts w:ascii="inherit" w:eastAsia="Times New Roman" w:hAnsi="inherit" w:cs="Times New Roman"/>
                <w:color w:val="333333"/>
                <w:sz w:val="24"/>
                <w:szCs w:val="24"/>
                <w:lang w:val="en-US"/>
              </w:rPr>
            </w:pPr>
            <w:r w:rsidRPr="00F12D95">
              <w:rPr>
                <w:rFonts w:ascii="inherit" w:eastAsia="Times New Roman" w:hAnsi="inherit" w:cs="Times New Roman"/>
                <w:color w:val="333333"/>
                <w:sz w:val="24"/>
                <w:szCs w:val="24"/>
                <w:lang w:val="en-US"/>
              </w:rPr>
              <w:t>Is a widely used self-reported generic measure of health reported quality of life that has been validated in different patient populations. The five-level version contains the same dimensions as the earlier three-level version but has been designed to provide greater reliability and sensitivity.</w:t>
            </w:r>
          </w:p>
          <w:p w:rsidR="005D1E06" w:rsidRDefault="005D1E06" w:rsidP="00F12D95">
            <w:pPr>
              <w:spacing w:after="0" w:line="240" w:lineRule="auto"/>
              <w:rPr>
                <w:rFonts w:ascii="inherit" w:eastAsia="Times New Roman" w:hAnsi="inherit" w:cs="Times New Roman"/>
                <w:color w:val="333333"/>
                <w:sz w:val="24"/>
                <w:szCs w:val="24"/>
                <w:lang w:val="en-US"/>
              </w:rPr>
            </w:pPr>
          </w:p>
          <w:p w:rsidR="00F12D95" w:rsidRPr="00F12D95" w:rsidRDefault="00F12D95" w:rsidP="00F12D95">
            <w:pPr>
              <w:spacing w:after="0" w:line="240" w:lineRule="auto"/>
              <w:rPr>
                <w:rFonts w:ascii="inherit" w:eastAsia="Times New Roman" w:hAnsi="inherit" w:cs="Times New Roman"/>
                <w:color w:val="333333"/>
                <w:sz w:val="24"/>
                <w:szCs w:val="24"/>
                <w:lang w:val="en-US"/>
              </w:rPr>
            </w:pPr>
            <w:r w:rsidRPr="00F12D95">
              <w:rPr>
                <w:rFonts w:ascii="inherit" w:eastAsia="Times New Roman" w:hAnsi="inherit" w:cs="Times New Roman"/>
                <w:color w:val="333333"/>
                <w:sz w:val="24"/>
                <w:szCs w:val="24"/>
                <w:lang w:val="en-US"/>
              </w:rPr>
              <w:t>Center for Epidemiological Studies Depression Scale (CES-D) [ Time Frame: 10 minutes ]</w:t>
            </w:r>
          </w:p>
          <w:p w:rsidR="00F12D95" w:rsidRPr="00F12D95" w:rsidRDefault="00F12D95" w:rsidP="00F12D95">
            <w:pPr>
              <w:spacing w:after="0" w:line="240" w:lineRule="auto"/>
              <w:rPr>
                <w:rFonts w:ascii="inherit" w:eastAsia="Times New Roman" w:hAnsi="inherit" w:cs="Times New Roman"/>
                <w:color w:val="333333"/>
                <w:sz w:val="24"/>
                <w:szCs w:val="24"/>
                <w:lang w:val="en-US"/>
              </w:rPr>
            </w:pPr>
            <w:r w:rsidRPr="00F12D95">
              <w:rPr>
                <w:rFonts w:ascii="inherit" w:eastAsia="Times New Roman" w:hAnsi="inherit" w:cs="Times New Roman"/>
                <w:color w:val="333333"/>
                <w:sz w:val="24"/>
                <w:szCs w:val="24"/>
                <w:lang w:val="en-US"/>
              </w:rPr>
              <w:t>This 20- item scale has been used extensively with older adults. Respondents use a four choice scale to rate how they have felt in the past week expressing depressed mood.</w:t>
            </w:r>
          </w:p>
          <w:p w:rsidR="00F12D95" w:rsidRPr="005D1E06" w:rsidRDefault="00F12D95" w:rsidP="00F12D95">
            <w:pPr>
              <w:spacing w:after="0" w:line="240" w:lineRule="auto"/>
              <w:rPr>
                <w:rFonts w:ascii="inherit" w:eastAsia="Times New Roman" w:hAnsi="inherit" w:cs="Times New Roman"/>
                <w:color w:val="333333"/>
                <w:sz w:val="24"/>
                <w:szCs w:val="24"/>
                <w:lang w:val="en-US"/>
              </w:rPr>
            </w:pPr>
          </w:p>
        </w:tc>
      </w:tr>
      <w:tr w:rsidR="005D1E06" w:rsidRPr="005D1E06" w:rsidTr="005D1E06">
        <w:tc>
          <w:tcPr>
            <w:tcW w:w="2700"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5D1E06" w:rsidRPr="005D1E06" w:rsidRDefault="005D1E06" w:rsidP="005D1E06">
            <w:pPr>
              <w:spacing w:after="0" w:line="240" w:lineRule="auto"/>
              <w:rPr>
                <w:rFonts w:ascii="inherit" w:eastAsia="Times New Roman" w:hAnsi="inherit" w:cs="Times New Roman"/>
                <w:color w:val="333333"/>
                <w:sz w:val="24"/>
                <w:szCs w:val="24"/>
                <w:lang w:val="en-US"/>
              </w:rPr>
            </w:pPr>
            <w:r w:rsidRPr="005D1E06">
              <w:rPr>
                <w:rFonts w:ascii="inherit" w:eastAsia="Times New Roman" w:hAnsi="inherit" w:cs="Times New Roman"/>
                <w:color w:val="333333"/>
                <w:sz w:val="24"/>
                <w:szCs w:val="24"/>
                <w:lang w:val="en-US"/>
              </w:rPr>
              <w:t>Key secondary outcomes</w:t>
            </w:r>
          </w:p>
        </w:tc>
        <w:tc>
          <w:tcPr>
            <w:tcW w:w="6825" w:type="dxa"/>
            <w:tcBorders>
              <w:top w:val="single" w:sz="6" w:space="0" w:color="BBBBBB"/>
              <w:left w:val="single" w:sz="6" w:space="0" w:color="BBBBBB"/>
              <w:bottom w:val="single" w:sz="6" w:space="0" w:color="BBBBBB"/>
              <w:right w:val="single" w:sz="6" w:space="0" w:color="BBBBBB"/>
            </w:tcBorders>
            <w:shd w:val="clear" w:color="auto" w:fill="EEEEEE"/>
            <w:tcMar>
              <w:top w:w="48" w:type="dxa"/>
              <w:left w:w="75" w:type="dxa"/>
              <w:bottom w:w="48" w:type="dxa"/>
              <w:right w:w="48" w:type="dxa"/>
            </w:tcMar>
            <w:vAlign w:val="center"/>
            <w:hideMark/>
          </w:tcPr>
          <w:p w:rsidR="00F12D95" w:rsidRPr="00F12D95" w:rsidRDefault="00F12D95" w:rsidP="00F12D95">
            <w:pPr>
              <w:numPr>
                <w:ilvl w:val="0"/>
                <w:numId w:val="1"/>
              </w:numPr>
              <w:spacing w:after="0" w:line="240" w:lineRule="auto"/>
              <w:rPr>
                <w:rFonts w:ascii="inherit" w:eastAsia="Times New Roman" w:hAnsi="inherit" w:cs="Times New Roman"/>
                <w:color w:val="333333"/>
                <w:sz w:val="24"/>
                <w:szCs w:val="24"/>
                <w:lang w:val="en-US"/>
              </w:rPr>
            </w:pPr>
            <w:r w:rsidRPr="00F12D95">
              <w:rPr>
                <w:rFonts w:ascii="inherit" w:eastAsia="Times New Roman" w:hAnsi="inherit" w:cs="Times New Roman"/>
                <w:color w:val="333333"/>
                <w:sz w:val="24"/>
                <w:szCs w:val="24"/>
                <w:lang w:val="en-US"/>
              </w:rPr>
              <w:t>Patient Assessment of Chronic Illness Care (PACIC) Scale [ Time Frame: 15 minutes ]</w:t>
            </w:r>
          </w:p>
          <w:p w:rsidR="00F12D95" w:rsidRPr="00F12D95" w:rsidRDefault="00F12D95" w:rsidP="00F12D95">
            <w:pPr>
              <w:spacing w:after="0" w:line="240" w:lineRule="auto"/>
              <w:rPr>
                <w:rFonts w:ascii="inherit" w:eastAsia="Times New Roman" w:hAnsi="inherit" w:cs="Times New Roman"/>
                <w:color w:val="333333"/>
                <w:sz w:val="24"/>
                <w:szCs w:val="24"/>
                <w:lang w:val="en-US"/>
              </w:rPr>
            </w:pPr>
            <w:r w:rsidRPr="00F12D95">
              <w:rPr>
                <w:rFonts w:ascii="inherit" w:eastAsia="Times New Roman" w:hAnsi="inherit" w:cs="Times New Roman"/>
                <w:color w:val="333333"/>
                <w:sz w:val="24"/>
                <w:szCs w:val="24"/>
                <w:lang w:val="en-US"/>
              </w:rPr>
              <w:t xml:space="preserve">This 20 item scale was designed to assess from the patient perspective the receipt of patient-centered care and self-management </w:t>
            </w:r>
            <w:r w:rsidRPr="00F12D95">
              <w:rPr>
                <w:rFonts w:ascii="inherit" w:eastAsia="Times New Roman" w:hAnsi="inherit" w:cs="Times New Roman"/>
                <w:color w:val="333333"/>
                <w:sz w:val="24"/>
                <w:szCs w:val="24"/>
                <w:lang w:val="en-US"/>
              </w:rPr>
              <w:lastRenderedPageBreak/>
              <w:t>behaviors.</w:t>
            </w:r>
          </w:p>
          <w:p w:rsidR="00F12D95" w:rsidRPr="00F12D95" w:rsidRDefault="00F12D95" w:rsidP="00F12D95">
            <w:pPr>
              <w:numPr>
                <w:ilvl w:val="0"/>
                <w:numId w:val="1"/>
              </w:numPr>
              <w:spacing w:after="0" w:line="240" w:lineRule="auto"/>
              <w:rPr>
                <w:rFonts w:ascii="inherit" w:eastAsia="Times New Roman" w:hAnsi="inherit" w:cs="Times New Roman"/>
                <w:color w:val="333333"/>
                <w:sz w:val="24"/>
                <w:szCs w:val="24"/>
                <w:lang w:val="en-US"/>
              </w:rPr>
            </w:pPr>
            <w:r w:rsidRPr="00F12D95">
              <w:rPr>
                <w:rFonts w:ascii="inherit" w:eastAsia="Times New Roman" w:hAnsi="inherit" w:cs="Times New Roman"/>
                <w:color w:val="333333"/>
                <w:sz w:val="24"/>
                <w:szCs w:val="24"/>
                <w:lang w:val="en-US"/>
              </w:rPr>
              <w:t>Health Economic Evaluation [ Time Frame: 15 minutes ]</w:t>
            </w:r>
          </w:p>
          <w:p w:rsidR="00F12D95" w:rsidRPr="00F12D95" w:rsidRDefault="00F12D95" w:rsidP="00F12D95">
            <w:pPr>
              <w:spacing w:after="0" w:line="240" w:lineRule="auto"/>
              <w:rPr>
                <w:rFonts w:ascii="inherit" w:eastAsia="Times New Roman" w:hAnsi="inherit" w:cs="Times New Roman"/>
                <w:color w:val="333333"/>
                <w:sz w:val="24"/>
                <w:szCs w:val="24"/>
                <w:lang w:val="en-US"/>
              </w:rPr>
            </w:pPr>
            <w:r w:rsidRPr="00F12D95">
              <w:rPr>
                <w:rFonts w:ascii="inherit" w:eastAsia="Times New Roman" w:hAnsi="inherit" w:cs="Times New Roman"/>
                <w:color w:val="333333"/>
                <w:sz w:val="24"/>
                <w:szCs w:val="24"/>
                <w:lang w:val="en-US"/>
              </w:rPr>
              <w:t>The health economic analysis will consist of trial-based economic evaluation and will incorporate both cost effectiveness analysis and cost utility analysis to compare the alternative treatment strategies: (1) the Anticipatory Care Planning (ACP) Intervention; and (2) usual care in general practice.</w:t>
            </w:r>
          </w:p>
          <w:p w:rsidR="005D1E06" w:rsidRPr="005D1E06" w:rsidRDefault="005D1E06" w:rsidP="005D1E06">
            <w:pPr>
              <w:spacing w:after="0" w:line="240" w:lineRule="auto"/>
              <w:rPr>
                <w:rFonts w:ascii="inherit" w:eastAsia="Times New Roman" w:hAnsi="inherit" w:cs="Times New Roman"/>
                <w:color w:val="333333"/>
                <w:sz w:val="24"/>
                <w:szCs w:val="24"/>
                <w:lang w:val="en-US"/>
              </w:rPr>
            </w:pPr>
          </w:p>
        </w:tc>
      </w:tr>
    </w:tbl>
    <w:p w:rsidR="004E77EE" w:rsidRDefault="004E77EE"/>
    <w:sectPr w:rsidR="004E77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141FA0"/>
    <w:multiLevelType w:val="multilevel"/>
    <w:tmpl w:val="D66C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1E06"/>
    <w:rsid w:val="004E77EE"/>
    <w:rsid w:val="005D1E06"/>
    <w:rsid w:val="00886C96"/>
    <w:rsid w:val="00F12D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D1E06"/>
    <w:rPr>
      <w:color w:val="0000FF"/>
      <w:u w:val="single"/>
    </w:rPr>
  </w:style>
  <w:style w:type="character" w:styleId="Emphasis">
    <w:name w:val="Emphasis"/>
    <w:basedOn w:val="DefaultParagraphFont"/>
    <w:uiPriority w:val="20"/>
    <w:qFormat/>
    <w:rsid w:val="005D1E0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D1E06"/>
    <w:rPr>
      <w:color w:val="0000FF"/>
      <w:u w:val="single"/>
    </w:rPr>
  </w:style>
  <w:style w:type="character" w:styleId="Emphasis">
    <w:name w:val="Emphasis"/>
    <w:basedOn w:val="DefaultParagraphFont"/>
    <w:uiPriority w:val="20"/>
    <w:qFormat/>
    <w:rsid w:val="005D1E0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658129">
      <w:bodyDiv w:val="1"/>
      <w:marLeft w:val="0"/>
      <w:marRight w:val="0"/>
      <w:marTop w:val="0"/>
      <w:marBottom w:val="0"/>
      <w:divBdr>
        <w:top w:val="none" w:sz="0" w:space="0" w:color="auto"/>
        <w:left w:val="none" w:sz="0" w:space="0" w:color="auto"/>
        <w:bottom w:val="none" w:sz="0" w:space="0" w:color="auto"/>
        <w:right w:val="none" w:sz="0" w:space="0" w:color="auto"/>
      </w:divBdr>
    </w:div>
    <w:div w:id="324944968">
      <w:bodyDiv w:val="1"/>
      <w:marLeft w:val="0"/>
      <w:marRight w:val="0"/>
      <w:marTop w:val="0"/>
      <w:marBottom w:val="0"/>
      <w:divBdr>
        <w:top w:val="none" w:sz="0" w:space="0" w:color="auto"/>
        <w:left w:val="none" w:sz="0" w:space="0" w:color="auto"/>
        <w:bottom w:val="none" w:sz="0" w:space="0" w:color="auto"/>
        <w:right w:val="none" w:sz="0" w:space="0" w:color="auto"/>
      </w:divBdr>
      <w:divsChild>
        <w:div w:id="2025545694">
          <w:marLeft w:val="240"/>
          <w:marRight w:val="0"/>
          <w:marTop w:val="120"/>
          <w:marBottom w:val="0"/>
          <w:divBdr>
            <w:top w:val="none" w:sz="0" w:space="0" w:color="auto"/>
            <w:left w:val="none" w:sz="0" w:space="0" w:color="auto"/>
            <w:bottom w:val="none" w:sz="0" w:space="0" w:color="auto"/>
            <w:right w:val="none" w:sz="0" w:space="0" w:color="auto"/>
          </w:divBdr>
        </w:div>
        <w:div w:id="1729646094">
          <w:marLeft w:val="240"/>
          <w:marRight w:val="0"/>
          <w:marTop w:val="120"/>
          <w:marBottom w:val="0"/>
          <w:divBdr>
            <w:top w:val="none" w:sz="0" w:space="0" w:color="auto"/>
            <w:left w:val="none" w:sz="0" w:space="0" w:color="auto"/>
            <w:bottom w:val="none" w:sz="0" w:space="0" w:color="auto"/>
            <w:right w:val="none" w:sz="0" w:space="0" w:color="auto"/>
          </w:divBdr>
        </w:div>
      </w:divsChild>
    </w:div>
    <w:div w:id="343360918">
      <w:bodyDiv w:val="1"/>
      <w:marLeft w:val="0"/>
      <w:marRight w:val="0"/>
      <w:marTop w:val="0"/>
      <w:marBottom w:val="0"/>
      <w:divBdr>
        <w:top w:val="none" w:sz="0" w:space="0" w:color="auto"/>
        <w:left w:val="none" w:sz="0" w:space="0" w:color="auto"/>
        <w:bottom w:val="none" w:sz="0" w:space="0" w:color="auto"/>
        <w:right w:val="none" w:sz="0" w:space="0" w:color="auto"/>
      </w:divBdr>
    </w:div>
    <w:div w:id="579366977">
      <w:bodyDiv w:val="1"/>
      <w:marLeft w:val="0"/>
      <w:marRight w:val="0"/>
      <w:marTop w:val="0"/>
      <w:marBottom w:val="0"/>
      <w:divBdr>
        <w:top w:val="none" w:sz="0" w:space="0" w:color="auto"/>
        <w:left w:val="none" w:sz="0" w:space="0" w:color="auto"/>
        <w:bottom w:val="none" w:sz="0" w:space="0" w:color="auto"/>
        <w:right w:val="none" w:sz="0" w:space="0" w:color="auto"/>
      </w:divBdr>
      <w:divsChild>
        <w:div w:id="1567912572">
          <w:marLeft w:val="240"/>
          <w:marRight w:val="0"/>
          <w:marTop w:val="120"/>
          <w:marBottom w:val="0"/>
          <w:divBdr>
            <w:top w:val="none" w:sz="0" w:space="0" w:color="auto"/>
            <w:left w:val="none" w:sz="0" w:space="0" w:color="auto"/>
            <w:bottom w:val="none" w:sz="0" w:space="0" w:color="auto"/>
            <w:right w:val="none" w:sz="0" w:space="0" w:color="auto"/>
          </w:divBdr>
        </w:div>
      </w:divsChild>
    </w:div>
    <w:div w:id="920484144">
      <w:bodyDiv w:val="1"/>
      <w:marLeft w:val="0"/>
      <w:marRight w:val="0"/>
      <w:marTop w:val="0"/>
      <w:marBottom w:val="0"/>
      <w:divBdr>
        <w:top w:val="none" w:sz="0" w:space="0" w:color="auto"/>
        <w:left w:val="none" w:sz="0" w:space="0" w:color="auto"/>
        <w:bottom w:val="none" w:sz="0" w:space="0" w:color="auto"/>
        <w:right w:val="none" w:sz="0" w:space="0" w:color="auto"/>
      </w:divBdr>
      <w:divsChild>
        <w:div w:id="1875534736">
          <w:marLeft w:val="240"/>
          <w:marRight w:val="0"/>
          <w:marTop w:val="120"/>
          <w:marBottom w:val="0"/>
          <w:divBdr>
            <w:top w:val="none" w:sz="0" w:space="0" w:color="auto"/>
            <w:left w:val="none" w:sz="0" w:space="0" w:color="auto"/>
            <w:bottom w:val="none" w:sz="0" w:space="0" w:color="auto"/>
            <w:right w:val="none" w:sz="0" w:space="0" w:color="auto"/>
          </w:divBdr>
        </w:div>
      </w:divsChild>
    </w:div>
    <w:div w:id="1244072565">
      <w:bodyDiv w:val="1"/>
      <w:marLeft w:val="0"/>
      <w:marRight w:val="0"/>
      <w:marTop w:val="0"/>
      <w:marBottom w:val="0"/>
      <w:divBdr>
        <w:top w:val="none" w:sz="0" w:space="0" w:color="auto"/>
        <w:left w:val="none" w:sz="0" w:space="0" w:color="auto"/>
        <w:bottom w:val="none" w:sz="0" w:space="0" w:color="auto"/>
        <w:right w:val="none" w:sz="0" w:space="0" w:color="auto"/>
      </w:divBdr>
    </w:div>
    <w:div w:id="1331371082">
      <w:bodyDiv w:val="1"/>
      <w:marLeft w:val="0"/>
      <w:marRight w:val="0"/>
      <w:marTop w:val="0"/>
      <w:marBottom w:val="0"/>
      <w:divBdr>
        <w:top w:val="none" w:sz="0" w:space="0" w:color="auto"/>
        <w:left w:val="none" w:sz="0" w:space="0" w:color="auto"/>
        <w:bottom w:val="none" w:sz="0" w:space="0" w:color="auto"/>
        <w:right w:val="none" w:sz="0" w:space="0" w:color="auto"/>
      </w:divBdr>
      <w:divsChild>
        <w:div w:id="1410925257">
          <w:marLeft w:val="240"/>
          <w:marRight w:val="0"/>
          <w:marTop w:val="120"/>
          <w:marBottom w:val="0"/>
          <w:divBdr>
            <w:top w:val="none" w:sz="0" w:space="0" w:color="auto"/>
            <w:left w:val="none" w:sz="0" w:space="0" w:color="auto"/>
            <w:bottom w:val="none" w:sz="0" w:space="0" w:color="auto"/>
            <w:right w:val="none" w:sz="0" w:space="0" w:color="auto"/>
          </w:divBdr>
        </w:div>
      </w:divsChild>
    </w:div>
    <w:div w:id="1513497269">
      <w:bodyDiv w:val="1"/>
      <w:marLeft w:val="0"/>
      <w:marRight w:val="0"/>
      <w:marTop w:val="0"/>
      <w:marBottom w:val="0"/>
      <w:divBdr>
        <w:top w:val="none" w:sz="0" w:space="0" w:color="auto"/>
        <w:left w:val="none" w:sz="0" w:space="0" w:color="auto"/>
        <w:bottom w:val="none" w:sz="0" w:space="0" w:color="auto"/>
        <w:right w:val="none" w:sz="0" w:space="0" w:color="auto"/>
      </w:divBdr>
    </w:div>
    <w:div w:id="1620065600">
      <w:bodyDiv w:val="1"/>
      <w:marLeft w:val="0"/>
      <w:marRight w:val="0"/>
      <w:marTop w:val="0"/>
      <w:marBottom w:val="0"/>
      <w:divBdr>
        <w:top w:val="none" w:sz="0" w:space="0" w:color="auto"/>
        <w:left w:val="none" w:sz="0" w:space="0" w:color="auto"/>
        <w:bottom w:val="none" w:sz="0" w:space="0" w:color="auto"/>
        <w:right w:val="none" w:sz="0" w:space="0" w:color="auto"/>
      </w:divBdr>
    </w:div>
    <w:div w:id="1620138323">
      <w:bodyDiv w:val="1"/>
      <w:marLeft w:val="0"/>
      <w:marRight w:val="0"/>
      <w:marTop w:val="0"/>
      <w:marBottom w:val="0"/>
      <w:divBdr>
        <w:top w:val="none" w:sz="0" w:space="0" w:color="auto"/>
        <w:left w:val="none" w:sz="0" w:space="0" w:color="auto"/>
        <w:bottom w:val="none" w:sz="0" w:space="0" w:color="auto"/>
        <w:right w:val="none" w:sz="0" w:space="0" w:color="auto"/>
      </w:divBdr>
      <w:divsChild>
        <w:div w:id="595292037">
          <w:marLeft w:val="240"/>
          <w:marRight w:val="0"/>
          <w:marTop w:val="120"/>
          <w:marBottom w:val="0"/>
          <w:divBdr>
            <w:top w:val="none" w:sz="0" w:space="0" w:color="auto"/>
            <w:left w:val="none" w:sz="0" w:space="0" w:color="auto"/>
            <w:bottom w:val="none" w:sz="0" w:space="0" w:color="auto"/>
            <w:right w:val="none" w:sz="0" w:space="0" w:color="auto"/>
          </w:divBdr>
        </w:div>
      </w:divsChild>
    </w:div>
    <w:div w:id="1656646191">
      <w:bodyDiv w:val="1"/>
      <w:marLeft w:val="0"/>
      <w:marRight w:val="0"/>
      <w:marTop w:val="0"/>
      <w:marBottom w:val="0"/>
      <w:divBdr>
        <w:top w:val="none" w:sz="0" w:space="0" w:color="auto"/>
        <w:left w:val="none" w:sz="0" w:space="0" w:color="auto"/>
        <w:bottom w:val="none" w:sz="0" w:space="0" w:color="auto"/>
        <w:right w:val="none" w:sz="0" w:space="0" w:color="auto"/>
      </w:divBdr>
    </w:div>
    <w:div w:id="1751192059">
      <w:bodyDiv w:val="1"/>
      <w:marLeft w:val="0"/>
      <w:marRight w:val="0"/>
      <w:marTop w:val="0"/>
      <w:marBottom w:val="0"/>
      <w:divBdr>
        <w:top w:val="none" w:sz="0" w:space="0" w:color="auto"/>
        <w:left w:val="none" w:sz="0" w:space="0" w:color="auto"/>
        <w:bottom w:val="none" w:sz="0" w:space="0" w:color="auto"/>
        <w:right w:val="none" w:sz="0" w:space="0" w:color="auto"/>
      </w:divBdr>
      <w:divsChild>
        <w:div w:id="2056655738">
          <w:marLeft w:val="240"/>
          <w:marRight w:val="0"/>
          <w:marTop w:val="120"/>
          <w:marBottom w:val="0"/>
          <w:divBdr>
            <w:top w:val="none" w:sz="0" w:space="0" w:color="auto"/>
            <w:left w:val="none" w:sz="0" w:space="0" w:color="auto"/>
            <w:bottom w:val="none" w:sz="0" w:space="0" w:color="auto"/>
            <w:right w:val="none" w:sz="0" w:space="0" w:color="auto"/>
          </w:divBdr>
        </w:div>
        <w:div w:id="737478546">
          <w:marLeft w:val="240"/>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brazil%40qub.ac.uk" TargetMode="External"/><Relationship Id="rId3" Type="http://schemas.microsoft.com/office/2007/relationships/stylesWithEffects" Target="stylesWithEffects.xml"/><Relationship Id="rId7" Type="http://schemas.openxmlformats.org/officeDocument/2006/relationships/hyperlink" Target="mailto:david.scott%40qub.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brazil%40qub.ac.uk"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david.scott%40qub.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720</Words>
  <Characters>4105</Characters>
  <Application>Microsoft Office Word</Application>
  <DocSecurity>0</DocSecurity>
  <Lines>34</Lines>
  <Paragraphs>9</Paragraphs>
  <ScaleCrop>false</ScaleCrop>
  <Company>Royal College of Surgeons in Ireland</Company>
  <LinksUpToDate>false</LinksUpToDate>
  <CharactersWithSpaces>4816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 Doyle</dc:creator>
  <cp:lastModifiedBy>Frank Doyle</cp:lastModifiedBy>
  <cp:revision>3</cp:revision>
  <dcterms:created xsi:type="dcterms:W3CDTF">2019-09-17T19:55:00Z</dcterms:created>
  <dcterms:modified xsi:type="dcterms:W3CDTF">2019-09-17T20:12:00Z</dcterms:modified>
</cp:coreProperties>
</file>